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41D" w:rsidRPr="00340590" w:rsidRDefault="0005741D" w:rsidP="0005741D">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bookmarkStart w:id="0" w:name="_GoBack"/>
      <w:bookmarkEnd w:id="0"/>
      <w:r w:rsidRPr="00340590">
        <w:rPr>
          <w:rFonts w:ascii="Arial" w:eastAsia="Arial" w:hAnsi="Arial" w:cs="Arial"/>
          <w:b/>
          <w:color w:val="000000"/>
          <w:sz w:val="36"/>
          <w:szCs w:val="36"/>
        </w:rPr>
        <w:t>ISTITUTO ISTRUZIONE SUPERIORE “E. FERRARI”</w:t>
      </w:r>
    </w:p>
    <w:p w:rsidR="00545410" w:rsidRDefault="00545410">
      <w:pPr>
        <w:rPr>
          <w:b/>
        </w:rPr>
      </w:pPr>
    </w:p>
    <w:p w:rsidR="005173BE" w:rsidRDefault="005173BE">
      <w:pPr>
        <w:rPr>
          <w:b/>
        </w:rPr>
      </w:pPr>
      <w:r w:rsidRPr="00421088">
        <w:rPr>
          <w:b/>
        </w:rPr>
        <w:t>PROGRAMMA SVOLTO</w:t>
      </w:r>
    </w:p>
    <w:p w:rsidR="00421088" w:rsidRDefault="0005741D">
      <w:r>
        <w:t>Anno scolastico 2024/2025</w:t>
      </w:r>
    </w:p>
    <w:p w:rsidR="00CD6117" w:rsidRDefault="00CD6117">
      <w:r>
        <w:t>CLASSE</w:t>
      </w:r>
      <w:r w:rsidR="003248B6">
        <w:t xml:space="preserve"> V A FPP</w:t>
      </w:r>
    </w:p>
    <w:p w:rsidR="00421088" w:rsidRDefault="00CD6117">
      <w:pPr>
        <w:rPr>
          <w:b/>
        </w:rPr>
      </w:pPr>
      <w:r>
        <w:t>Disciplina</w:t>
      </w:r>
      <w:r w:rsidR="00421088">
        <w:t xml:space="preserve">: </w:t>
      </w:r>
      <w:r w:rsidR="00A7441D">
        <w:rPr>
          <w:b/>
        </w:rPr>
        <w:t>RELIGIONE CATTOLICA</w:t>
      </w:r>
    </w:p>
    <w:p w:rsidR="006500C0" w:rsidRDefault="00421088">
      <w:pPr>
        <w:rPr>
          <w:b/>
        </w:rPr>
      </w:pPr>
      <w:r w:rsidRPr="00421088">
        <w:t>Docente:</w:t>
      </w:r>
      <w:r w:rsidR="00A7441D">
        <w:t xml:space="preserve"> </w:t>
      </w:r>
      <w:r w:rsidR="00A7441D" w:rsidRPr="00A7441D">
        <w:rPr>
          <w:b/>
        </w:rPr>
        <w:t>LAMBERTI ANTONIO</w:t>
      </w:r>
    </w:p>
    <w:tbl>
      <w:tblPr>
        <w:tblW w:w="10073" w:type="dxa"/>
        <w:tblInd w:w="70" w:type="dxa"/>
        <w:tblLayout w:type="fixed"/>
        <w:tblCellMar>
          <w:left w:w="70" w:type="dxa"/>
          <w:right w:w="70" w:type="dxa"/>
        </w:tblCellMar>
        <w:tblLook w:val="04A0" w:firstRow="1" w:lastRow="0" w:firstColumn="1" w:lastColumn="0" w:noHBand="0" w:noVBand="1"/>
      </w:tblPr>
      <w:tblGrid>
        <w:gridCol w:w="10073"/>
      </w:tblGrid>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741D" w:rsidRDefault="0005741D" w:rsidP="0005741D">
            <w:pPr>
              <w:pStyle w:val="Paragrafoelenco"/>
              <w:numPr>
                <w:ilvl w:val="0"/>
                <w:numId w:val="13"/>
              </w:numPr>
              <w:suppressAutoHyphens/>
              <w:spacing w:after="200" w:line="276" w:lineRule="auto"/>
              <w:rPr>
                <w:rFonts w:eastAsia="Times New Roman"/>
                <w:kern w:val="1"/>
                <w:sz w:val="20"/>
                <w:szCs w:val="20"/>
              </w:rPr>
            </w:pPr>
            <w:r w:rsidRPr="008779E7">
              <w:rPr>
                <w:rFonts w:eastAsia="Times New Roman"/>
                <w:kern w:val="1"/>
                <w:sz w:val="20"/>
                <w:szCs w:val="20"/>
              </w:rPr>
              <w:t xml:space="preserve">Cibo ed emozioni </w:t>
            </w:r>
          </w:p>
          <w:p w:rsidR="0005741D" w:rsidRDefault="0005741D" w:rsidP="0005741D">
            <w:pPr>
              <w:pStyle w:val="Paragrafoelenco"/>
              <w:numPr>
                <w:ilvl w:val="0"/>
                <w:numId w:val="13"/>
              </w:numPr>
              <w:suppressAutoHyphens/>
              <w:spacing w:after="200" w:line="276" w:lineRule="auto"/>
              <w:rPr>
                <w:kern w:val="1"/>
                <w:sz w:val="20"/>
                <w:szCs w:val="20"/>
              </w:rPr>
            </w:pPr>
            <w:r w:rsidRPr="008779E7">
              <w:rPr>
                <w:kern w:val="1"/>
                <w:sz w:val="20"/>
                <w:szCs w:val="20"/>
              </w:rPr>
              <w:t>Cibo e relazioni</w:t>
            </w:r>
          </w:p>
          <w:p w:rsidR="0005741D" w:rsidRDefault="0005741D" w:rsidP="0005741D">
            <w:pPr>
              <w:pStyle w:val="Paragrafoelenco"/>
              <w:numPr>
                <w:ilvl w:val="0"/>
                <w:numId w:val="13"/>
              </w:numPr>
              <w:suppressAutoHyphens/>
              <w:spacing w:after="200" w:line="276" w:lineRule="auto"/>
              <w:rPr>
                <w:kern w:val="1"/>
                <w:sz w:val="20"/>
                <w:szCs w:val="20"/>
              </w:rPr>
            </w:pPr>
            <w:r w:rsidRPr="008779E7">
              <w:rPr>
                <w:kern w:val="1"/>
                <w:sz w:val="20"/>
                <w:szCs w:val="20"/>
              </w:rPr>
              <w:t>Il cibo come cultura</w:t>
            </w:r>
            <w:r w:rsidR="00A342DB">
              <w:rPr>
                <w:kern w:val="1"/>
                <w:sz w:val="20"/>
                <w:szCs w:val="20"/>
              </w:rPr>
              <w:t>, come dialogo, come comunità</w:t>
            </w:r>
          </w:p>
          <w:p w:rsidR="0005741D" w:rsidRDefault="0005741D" w:rsidP="0005741D">
            <w:pPr>
              <w:pStyle w:val="Paragrafoelenco"/>
              <w:numPr>
                <w:ilvl w:val="0"/>
                <w:numId w:val="13"/>
              </w:numPr>
              <w:suppressAutoHyphens/>
              <w:spacing w:after="200" w:line="276" w:lineRule="auto"/>
              <w:rPr>
                <w:kern w:val="1"/>
                <w:sz w:val="20"/>
                <w:szCs w:val="20"/>
              </w:rPr>
            </w:pPr>
            <w:r w:rsidRPr="002C7395">
              <w:rPr>
                <w:kern w:val="1"/>
                <w:sz w:val="20"/>
                <w:szCs w:val="20"/>
              </w:rPr>
              <w:t>Alcuni significati simbolici che la tradizione giudaico – cristiana attribuisce al cibo e al nutrirsi attraverso la valorizzazione del testo biblico</w:t>
            </w:r>
          </w:p>
          <w:p w:rsidR="0005741D" w:rsidRPr="002C7395" w:rsidRDefault="0005741D" w:rsidP="0005741D">
            <w:pPr>
              <w:pStyle w:val="Paragrafoelenco"/>
              <w:numPr>
                <w:ilvl w:val="0"/>
                <w:numId w:val="13"/>
              </w:numPr>
              <w:suppressAutoHyphens/>
              <w:spacing w:after="200" w:line="276" w:lineRule="auto"/>
              <w:rPr>
                <w:kern w:val="1"/>
                <w:sz w:val="20"/>
                <w:szCs w:val="20"/>
              </w:rPr>
            </w:pPr>
            <w:r w:rsidRPr="002C7395">
              <w:rPr>
                <w:kern w:val="1"/>
                <w:sz w:val="20"/>
                <w:szCs w:val="20"/>
              </w:rPr>
              <w:t>Il significato del pane e del vino nell’Eucarestia. I significati simbolici di altri cibi presenti nella ritualità di altre tradizioni religiose</w:t>
            </w:r>
          </w:p>
          <w:p w:rsidR="0005741D" w:rsidRDefault="0005741D" w:rsidP="0005741D">
            <w:pPr>
              <w:pStyle w:val="Paragrafoelenco"/>
              <w:numPr>
                <w:ilvl w:val="0"/>
                <w:numId w:val="13"/>
              </w:numPr>
              <w:suppressAutoHyphens/>
              <w:spacing w:after="200" w:line="276" w:lineRule="auto"/>
              <w:rPr>
                <w:kern w:val="1"/>
                <w:sz w:val="20"/>
                <w:szCs w:val="20"/>
              </w:rPr>
            </w:pPr>
            <w:r w:rsidRPr="00A62595">
              <w:rPr>
                <w:kern w:val="1"/>
                <w:sz w:val="20"/>
                <w:szCs w:val="20"/>
              </w:rPr>
              <w:t>La cucina ebraica: l'osserv</w:t>
            </w:r>
            <w:r w:rsidR="00A342DB">
              <w:rPr>
                <w:kern w:val="1"/>
                <w:sz w:val="20"/>
                <w:szCs w:val="20"/>
              </w:rPr>
              <w:t xml:space="preserve">anza delle regole (il </w:t>
            </w:r>
            <w:proofErr w:type="spellStart"/>
            <w:r w:rsidR="00A342DB">
              <w:rPr>
                <w:kern w:val="1"/>
                <w:sz w:val="20"/>
                <w:szCs w:val="20"/>
              </w:rPr>
              <w:t>Kasherut</w:t>
            </w:r>
            <w:proofErr w:type="spellEnd"/>
            <w:r w:rsidR="00A342DB">
              <w:rPr>
                <w:kern w:val="1"/>
                <w:sz w:val="20"/>
                <w:szCs w:val="20"/>
              </w:rPr>
              <w:t>), il cibo come simbolo, i</w:t>
            </w:r>
            <w:r w:rsidRPr="00A62595">
              <w:rPr>
                <w:kern w:val="1"/>
                <w:sz w:val="20"/>
                <w:szCs w:val="20"/>
              </w:rPr>
              <w:t>l sabato, giorno sacro degli ebrei (l</w:t>
            </w:r>
            <w:r w:rsidR="00A342DB">
              <w:rPr>
                <w:kern w:val="1"/>
                <w:sz w:val="20"/>
                <w:szCs w:val="20"/>
              </w:rPr>
              <w:t>o Shabbat), la cena del venerdì, l</w:t>
            </w:r>
            <w:r w:rsidRPr="00A62595">
              <w:rPr>
                <w:kern w:val="1"/>
                <w:sz w:val="20"/>
                <w:szCs w:val="20"/>
              </w:rPr>
              <w:t>a Pasqua ebraica (Pesah), i cibi di Pesah, la cena pasquale. Il capodanno (</w:t>
            </w:r>
            <w:proofErr w:type="spellStart"/>
            <w:r w:rsidRPr="00A62595">
              <w:rPr>
                <w:kern w:val="1"/>
                <w:sz w:val="20"/>
                <w:szCs w:val="20"/>
              </w:rPr>
              <w:t>Ro'sh</w:t>
            </w:r>
            <w:proofErr w:type="spellEnd"/>
            <w:r w:rsidRPr="00A62595">
              <w:rPr>
                <w:kern w:val="1"/>
                <w:sz w:val="20"/>
                <w:szCs w:val="20"/>
              </w:rPr>
              <w:t xml:space="preserve"> ha-</w:t>
            </w:r>
            <w:proofErr w:type="spellStart"/>
            <w:r w:rsidRPr="00A62595">
              <w:rPr>
                <w:kern w:val="1"/>
                <w:sz w:val="20"/>
                <w:szCs w:val="20"/>
              </w:rPr>
              <w:t>shanah</w:t>
            </w:r>
            <w:proofErr w:type="spellEnd"/>
            <w:r w:rsidRPr="00A62595">
              <w:rPr>
                <w:kern w:val="1"/>
                <w:sz w:val="20"/>
                <w:szCs w:val="20"/>
              </w:rPr>
              <w:t>), il pranzo di capodann</w:t>
            </w:r>
            <w:r w:rsidR="00A342DB">
              <w:rPr>
                <w:kern w:val="1"/>
                <w:sz w:val="20"/>
                <w:szCs w:val="20"/>
              </w:rPr>
              <w:t xml:space="preserve">o. La festa delle sorti o della regina Ester </w:t>
            </w:r>
            <w:r>
              <w:rPr>
                <w:kern w:val="1"/>
                <w:sz w:val="20"/>
                <w:szCs w:val="20"/>
              </w:rPr>
              <w:t>(</w:t>
            </w:r>
            <w:proofErr w:type="spellStart"/>
            <w:r>
              <w:rPr>
                <w:kern w:val="1"/>
                <w:sz w:val="20"/>
                <w:szCs w:val="20"/>
              </w:rPr>
              <w:t>Purim</w:t>
            </w:r>
            <w:proofErr w:type="spellEnd"/>
            <w:r>
              <w:rPr>
                <w:kern w:val="1"/>
                <w:sz w:val="20"/>
                <w:szCs w:val="20"/>
              </w:rPr>
              <w:t>)</w:t>
            </w:r>
            <w:r w:rsidR="006C38E2">
              <w:rPr>
                <w:kern w:val="1"/>
                <w:sz w:val="20"/>
                <w:szCs w:val="20"/>
              </w:rPr>
              <w:t>. I piatti tradizionali della cucina ebraica</w:t>
            </w:r>
          </w:p>
          <w:p w:rsidR="0005741D" w:rsidRDefault="0005741D" w:rsidP="0005741D">
            <w:pPr>
              <w:pStyle w:val="Paragrafoelenco"/>
              <w:numPr>
                <w:ilvl w:val="0"/>
                <w:numId w:val="13"/>
              </w:numPr>
              <w:suppressAutoHyphens/>
              <w:spacing w:after="200" w:line="276" w:lineRule="auto"/>
              <w:rPr>
                <w:kern w:val="1"/>
                <w:sz w:val="20"/>
                <w:szCs w:val="20"/>
              </w:rPr>
            </w:pPr>
            <w:r w:rsidRPr="00077951">
              <w:rPr>
                <w:kern w:val="1"/>
                <w:sz w:val="20"/>
                <w:szCs w:val="20"/>
              </w:rPr>
              <w:t>La cucina cristiana: la diffusione del Cristianesimo e il p</w:t>
            </w:r>
            <w:r w:rsidR="006C38E2">
              <w:rPr>
                <w:kern w:val="1"/>
                <w:sz w:val="20"/>
                <w:szCs w:val="20"/>
              </w:rPr>
              <w:t>roblema delle regole alimentari; non il cibo, ma l’uso del cibo va regolato;</w:t>
            </w:r>
            <w:r w:rsidRPr="00077951">
              <w:rPr>
                <w:kern w:val="1"/>
                <w:sz w:val="20"/>
                <w:szCs w:val="20"/>
              </w:rPr>
              <w:t xml:space="preserve"> i periodi di digiuno; il peccato di gola; la virtù della temperanza; le regole monastiche; monasteri e tradizione gastronomica; le festivit</w:t>
            </w:r>
            <w:r w:rsidR="006C38E2">
              <w:rPr>
                <w:kern w:val="1"/>
                <w:sz w:val="20"/>
                <w:szCs w:val="20"/>
              </w:rPr>
              <w:t>à nel mondo cristiano cattolico: mercoledì delle Ceneri; domenica delle Palme; venerdì Santo; domenica di risurrezione; Ognissanti e commemorazione dei defunti; Natale. I</w:t>
            </w:r>
            <w:r w:rsidRPr="00077951">
              <w:rPr>
                <w:kern w:val="1"/>
                <w:sz w:val="20"/>
                <w:szCs w:val="20"/>
              </w:rPr>
              <w:t>l pane, il vino e l'olio. I piatti tradizionali della cucina cristiana nelle</w:t>
            </w:r>
            <w:r>
              <w:rPr>
                <w:kern w:val="1"/>
                <w:sz w:val="20"/>
                <w:szCs w:val="20"/>
              </w:rPr>
              <w:t xml:space="preserve"> principali festività dell'anno</w:t>
            </w:r>
          </w:p>
          <w:p w:rsidR="0005741D" w:rsidRPr="006C38E2" w:rsidRDefault="0005741D" w:rsidP="00336377">
            <w:pPr>
              <w:pStyle w:val="Paragrafoelenco"/>
              <w:numPr>
                <w:ilvl w:val="0"/>
                <w:numId w:val="13"/>
              </w:numPr>
              <w:rPr>
                <w:kern w:val="1"/>
                <w:sz w:val="20"/>
                <w:szCs w:val="20"/>
              </w:rPr>
            </w:pPr>
            <w:r w:rsidRPr="00BA2980">
              <w:rPr>
                <w:kern w:val="1"/>
                <w:sz w:val="20"/>
                <w:szCs w:val="20"/>
              </w:rPr>
              <w:t>La cucina islamica: il cibo, un bene prezioso; accogliere e condividere;</w:t>
            </w:r>
            <w:r w:rsidR="00A342DB">
              <w:rPr>
                <w:kern w:val="1"/>
                <w:sz w:val="20"/>
                <w:szCs w:val="20"/>
              </w:rPr>
              <w:t xml:space="preserve"> le norme alimentari; </w:t>
            </w:r>
            <w:r w:rsidRPr="00BA2980">
              <w:rPr>
                <w:kern w:val="1"/>
                <w:sz w:val="20"/>
                <w:szCs w:val="20"/>
              </w:rPr>
              <w:t>il principio della moderazione; cibi leciti (</w:t>
            </w:r>
            <w:proofErr w:type="spellStart"/>
            <w:r w:rsidRPr="00BA2980">
              <w:rPr>
                <w:kern w:val="1"/>
                <w:sz w:val="20"/>
                <w:szCs w:val="20"/>
              </w:rPr>
              <w:t>halal</w:t>
            </w:r>
            <w:proofErr w:type="spellEnd"/>
            <w:r w:rsidRPr="00BA2980">
              <w:rPr>
                <w:kern w:val="1"/>
                <w:sz w:val="20"/>
                <w:szCs w:val="20"/>
              </w:rPr>
              <w:t>) e cibi proibiti (</w:t>
            </w:r>
            <w:proofErr w:type="spellStart"/>
            <w:r w:rsidRPr="00BA2980">
              <w:rPr>
                <w:kern w:val="1"/>
                <w:sz w:val="20"/>
                <w:szCs w:val="20"/>
              </w:rPr>
              <w:t>haram</w:t>
            </w:r>
            <w:proofErr w:type="spellEnd"/>
            <w:r w:rsidRPr="00BA2980">
              <w:rPr>
                <w:kern w:val="1"/>
                <w:sz w:val="20"/>
                <w:szCs w:val="20"/>
              </w:rPr>
              <w:t>); la macellazione</w:t>
            </w:r>
            <w:r w:rsidR="00A342DB">
              <w:rPr>
                <w:kern w:val="1"/>
                <w:sz w:val="20"/>
                <w:szCs w:val="20"/>
              </w:rPr>
              <w:t xml:space="preserve"> rituale. Cucina e religione: la festa del</w:t>
            </w:r>
            <w:r w:rsidRPr="00BA2980">
              <w:rPr>
                <w:kern w:val="1"/>
                <w:sz w:val="20"/>
                <w:szCs w:val="20"/>
              </w:rPr>
              <w:t xml:space="preserve"> Ramadan; il cibo durante il Ramadan; la festa della rottura del digiuno (Id al-</w:t>
            </w:r>
            <w:proofErr w:type="spellStart"/>
            <w:r w:rsidRPr="00BA2980">
              <w:rPr>
                <w:kern w:val="1"/>
                <w:sz w:val="20"/>
                <w:szCs w:val="20"/>
              </w:rPr>
              <w:t>fitr</w:t>
            </w:r>
            <w:proofErr w:type="spellEnd"/>
            <w:r w:rsidRPr="00BA2980">
              <w:rPr>
                <w:kern w:val="1"/>
                <w:sz w:val="20"/>
                <w:szCs w:val="20"/>
              </w:rPr>
              <w:t>); la festa del sacrifi</w:t>
            </w:r>
            <w:r>
              <w:rPr>
                <w:kern w:val="1"/>
                <w:sz w:val="20"/>
                <w:szCs w:val="20"/>
              </w:rPr>
              <w:t>cio (Id al-</w:t>
            </w:r>
            <w:proofErr w:type="spellStart"/>
            <w:r>
              <w:rPr>
                <w:kern w:val="1"/>
                <w:sz w:val="20"/>
                <w:szCs w:val="20"/>
              </w:rPr>
              <w:t>adha</w:t>
            </w:r>
            <w:proofErr w:type="spellEnd"/>
            <w:r>
              <w:rPr>
                <w:kern w:val="1"/>
                <w:sz w:val="20"/>
                <w:szCs w:val="20"/>
              </w:rPr>
              <w:t>); carne e caffè</w:t>
            </w:r>
            <w:r w:rsidR="006C38E2">
              <w:rPr>
                <w:kern w:val="1"/>
                <w:sz w:val="20"/>
                <w:szCs w:val="20"/>
              </w:rPr>
              <w:t>.</w:t>
            </w:r>
            <w:r w:rsidR="006C38E2" w:rsidRPr="000D281B">
              <w:rPr>
                <w:kern w:val="1"/>
                <w:sz w:val="20"/>
                <w:szCs w:val="20"/>
              </w:rPr>
              <w:t xml:space="preserve"> I piatti tra</w:t>
            </w:r>
            <w:r w:rsidR="006C38E2">
              <w:rPr>
                <w:kern w:val="1"/>
                <w:sz w:val="20"/>
                <w:szCs w:val="20"/>
              </w:rPr>
              <w:t>dizionali della cucina islamica</w:t>
            </w:r>
          </w:p>
          <w:p w:rsidR="0005741D" w:rsidRDefault="0005741D" w:rsidP="0005741D">
            <w:pPr>
              <w:pStyle w:val="Paragrafoelenco"/>
              <w:numPr>
                <w:ilvl w:val="0"/>
                <w:numId w:val="13"/>
              </w:numPr>
              <w:suppressAutoHyphens/>
              <w:spacing w:after="200" w:line="276" w:lineRule="auto"/>
              <w:rPr>
                <w:kern w:val="1"/>
                <w:sz w:val="20"/>
                <w:szCs w:val="20"/>
              </w:rPr>
            </w:pPr>
            <w:r>
              <w:rPr>
                <w:kern w:val="1"/>
                <w:sz w:val="20"/>
                <w:szCs w:val="20"/>
              </w:rPr>
              <w:t>La cucina induista</w:t>
            </w:r>
            <w:r w:rsidRPr="00DA7F28">
              <w:rPr>
                <w:kern w:val="1"/>
                <w:sz w:val="20"/>
                <w:szCs w:val="20"/>
              </w:rPr>
              <w:t>: l'Induismo e il sistema delle caste, la purezza del cibo: un obbligo per i bramini, l'applicazione della non violenza alle scelte alimentari, il regime alimentare delle altre caste, la vacca sacra, le festività induiste. La cucina indiana: spezie e sapori in equilibrio; l'alimentazione ayurvedica; tre gruppi di cibi per l</w:t>
            </w:r>
            <w:r>
              <w:rPr>
                <w:kern w:val="1"/>
                <w:sz w:val="20"/>
                <w:szCs w:val="20"/>
              </w:rPr>
              <w:t xml:space="preserve">e ricette di </w:t>
            </w:r>
            <w:r w:rsidRPr="00DA7F28">
              <w:rPr>
                <w:kern w:val="1"/>
                <w:sz w:val="20"/>
                <w:szCs w:val="20"/>
              </w:rPr>
              <w:t>piatti indiani; la cucina indiana vegetariana; la cucina indiana: 5.000 anni di storia. I piatti tradizionali della cucina induista.</w:t>
            </w:r>
          </w:p>
          <w:p w:rsidR="006500C0" w:rsidRPr="008C21B4" w:rsidRDefault="0005741D" w:rsidP="00336377">
            <w:pPr>
              <w:pStyle w:val="Paragrafoelenco"/>
              <w:numPr>
                <w:ilvl w:val="0"/>
                <w:numId w:val="13"/>
              </w:numPr>
              <w:suppressAutoHyphens/>
              <w:spacing w:after="0" w:line="240" w:lineRule="auto"/>
              <w:rPr>
                <w:rFonts w:ascii="Calibri" w:eastAsia="Times New Roman" w:hAnsi="Calibri" w:cs="Calibri"/>
                <w:kern w:val="2"/>
                <w:sz w:val="20"/>
                <w:szCs w:val="20"/>
                <w:lang w:eastAsia="ar-SA"/>
              </w:rPr>
            </w:pPr>
            <w:r>
              <w:rPr>
                <w:kern w:val="1"/>
                <w:sz w:val="20"/>
                <w:szCs w:val="20"/>
              </w:rPr>
              <w:t>La cucina buddista:</w:t>
            </w:r>
            <w:r>
              <w:t xml:space="preserve"> </w:t>
            </w:r>
            <w:r>
              <w:rPr>
                <w:kern w:val="1"/>
                <w:sz w:val="20"/>
                <w:szCs w:val="20"/>
              </w:rPr>
              <w:t>i</w:t>
            </w:r>
            <w:r w:rsidRPr="008D6B5F">
              <w:rPr>
                <w:kern w:val="1"/>
                <w:sz w:val="20"/>
                <w:szCs w:val="20"/>
              </w:rPr>
              <w:t xml:space="preserve"> principi del Buddi</w:t>
            </w:r>
            <w:r w:rsidR="00336377">
              <w:rPr>
                <w:kern w:val="1"/>
                <w:sz w:val="20"/>
                <w:szCs w:val="20"/>
              </w:rPr>
              <w:t xml:space="preserve">smo e della cucina </w:t>
            </w:r>
            <w:proofErr w:type="spellStart"/>
            <w:r w:rsidR="00336377">
              <w:rPr>
                <w:kern w:val="1"/>
                <w:sz w:val="20"/>
                <w:szCs w:val="20"/>
              </w:rPr>
              <w:t>Shojin-Ryori</w:t>
            </w:r>
            <w:proofErr w:type="spellEnd"/>
            <w:r w:rsidR="00336377">
              <w:rPr>
                <w:kern w:val="1"/>
                <w:sz w:val="20"/>
                <w:szCs w:val="20"/>
              </w:rPr>
              <w:t>;</w:t>
            </w:r>
            <w:r w:rsidRPr="008D6B5F">
              <w:rPr>
                <w:kern w:val="1"/>
                <w:sz w:val="20"/>
                <w:szCs w:val="20"/>
              </w:rPr>
              <w:t xml:space="preserve"> la regola del 5; le Budda </w:t>
            </w:r>
            <w:proofErr w:type="spellStart"/>
            <w:r w:rsidRPr="008D6B5F">
              <w:rPr>
                <w:kern w:val="1"/>
                <w:sz w:val="20"/>
                <w:szCs w:val="20"/>
              </w:rPr>
              <w:t>Bowls</w:t>
            </w:r>
            <w:proofErr w:type="spellEnd"/>
            <w:r w:rsidRPr="008D6B5F">
              <w:rPr>
                <w:kern w:val="1"/>
                <w:sz w:val="20"/>
                <w:szCs w:val="20"/>
              </w:rPr>
              <w:t xml:space="preserve">; le </w:t>
            </w:r>
            <w:proofErr w:type="spellStart"/>
            <w:r w:rsidRPr="008D6B5F">
              <w:rPr>
                <w:kern w:val="1"/>
                <w:sz w:val="20"/>
                <w:szCs w:val="20"/>
              </w:rPr>
              <w:t>Budda's</w:t>
            </w:r>
            <w:proofErr w:type="spellEnd"/>
            <w:r w:rsidRPr="008D6B5F">
              <w:rPr>
                <w:kern w:val="1"/>
                <w:sz w:val="20"/>
                <w:szCs w:val="20"/>
              </w:rPr>
              <w:t xml:space="preserve"> </w:t>
            </w:r>
            <w:proofErr w:type="spellStart"/>
            <w:r w:rsidRPr="008D6B5F">
              <w:rPr>
                <w:kern w:val="1"/>
                <w:sz w:val="20"/>
                <w:szCs w:val="20"/>
              </w:rPr>
              <w:t>delight</w:t>
            </w:r>
            <w:proofErr w:type="spellEnd"/>
            <w:r w:rsidRPr="008D6B5F">
              <w:rPr>
                <w:kern w:val="1"/>
                <w:sz w:val="20"/>
                <w:szCs w:val="20"/>
              </w:rPr>
              <w:t xml:space="preserve">; i 5 precetti del Buddismo; la dieta tibetana o buddista: alimenti consentiti e vietati; gli insegnamenti della monaca coreana </w:t>
            </w:r>
            <w:proofErr w:type="spellStart"/>
            <w:r w:rsidRPr="008D6B5F">
              <w:rPr>
                <w:kern w:val="1"/>
                <w:sz w:val="20"/>
                <w:szCs w:val="20"/>
              </w:rPr>
              <w:t>Jeong</w:t>
            </w:r>
            <w:proofErr w:type="spellEnd"/>
            <w:r w:rsidRPr="008D6B5F">
              <w:rPr>
                <w:kern w:val="1"/>
                <w:sz w:val="20"/>
                <w:szCs w:val="20"/>
              </w:rPr>
              <w:t xml:space="preserve"> </w:t>
            </w:r>
            <w:proofErr w:type="spellStart"/>
            <w:r w:rsidRPr="008D6B5F">
              <w:rPr>
                <w:kern w:val="1"/>
                <w:sz w:val="20"/>
                <w:szCs w:val="20"/>
              </w:rPr>
              <w:t>Kwan</w:t>
            </w:r>
            <w:proofErr w:type="spellEnd"/>
            <w:r w:rsidRPr="008D6B5F">
              <w:rPr>
                <w:kern w:val="1"/>
                <w:sz w:val="20"/>
                <w:szCs w:val="20"/>
              </w:rPr>
              <w:t>. Alimentazione e cucina macrobiotica. I piatti tradizionali della cucina buddista.</w:t>
            </w:r>
          </w:p>
          <w:p w:rsidR="008C21B4" w:rsidRPr="006500C0" w:rsidRDefault="008C21B4" w:rsidP="008C21B4">
            <w:pPr>
              <w:pStyle w:val="Paragrafoelenco"/>
              <w:suppressAutoHyphens/>
              <w:spacing w:after="0" w:line="240" w:lineRule="auto"/>
              <w:rPr>
                <w:rFonts w:ascii="Calibri" w:eastAsia="Times New Roman" w:hAnsi="Calibri" w:cs="Calibri"/>
                <w:kern w:val="2"/>
                <w:sz w:val="20"/>
                <w:szCs w:val="20"/>
                <w:lang w:eastAsia="ar-SA"/>
              </w:rPr>
            </w:pPr>
          </w:p>
        </w:tc>
      </w:tr>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00C0" w:rsidRPr="0005741D" w:rsidRDefault="006500C0" w:rsidP="0005741D">
            <w:pPr>
              <w:suppressAutoHyphens/>
              <w:spacing w:after="0" w:line="240" w:lineRule="auto"/>
              <w:rPr>
                <w:rFonts w:ascii="Calibri" w:eastAsia="Times New Roman" w:hAnsi="Calibri" w:cs="Calibri"/>
                <w:kern w:val="2"/>
                <w:sz w:val="20"/>
                <w:szCs w:val="20"/>
                <w:lang w:eastAsia="ar-SA"/>
              </w:rPr>
            </w:pPr>
            <w:r w:rsidRPr="006500C0">
              <w:rPr>
                <w:rFonts w:ascii="Calibri" w:eastAsia="Times New Roman" w:hAnsi="Calibri" w:cs="Calibri"/>
                <w:kern w:val="2"/>
                <w:sz w:val="20"/>
                <w:szCs w:val="20"/>
                <w:lang w:eastAsia="ar-SA"/>
              </w:rPr>
              <w:t>U.D.A. di rifer</w:t>
            </w:r>
            <w:r w:rsidR="00B929E4">
              <w:rPr>
                <w:rFonts w:ascii="Calibri" w:eastAsia="Times New Roman" w:hAnsi="Calibri" w:cs="Calibri"/>
                <w:kern w:val="2"/>
                <w:sz w:val="20"/>
                <w:szCs w:val="20"/>
                <w:lang w:eastAsia="ar-SA"/>
              </w:rPr>
              <w:t xml:space="preserve">imento: U.D.A. N. 1 – </w:t>
            </w:r>
            <w:r w:rsidR="0005741D" w:rsidRPr="00735FB3">
              <w:rPr>
                <w:rFonts w:ascii="Calibri" w:eastAsia="Times New Roman" w:hAnsi="Calibri" w:cs="Calibri"/>
                <w:kern w:val="2"/>
                <w:sz w:val="20"/>
                <w:szCs w:val="20"/>
                <w:lang w:eastAsia="ar-SA"/>
              </w:rPr>
              <w:t>Il cibo, tra natura, cultura e religione</w:t>
            </w:r>
          </w:p>
        </w:tc>
      </w:tr>
      <w:tr w:rsidR="0082307C" w:rsidTr="0082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30"/>
        </w:trPr>
        <w:tc>
          <w:tcPr>
            <w:tcW w:w="10073" w:type="dxa"/>
          </w:tcPr>
          <w:p w:rsidR="008C21B4" w:rsidRDefault="008C21B4" w:rsidP="008C21B4">
            <w:pPr>
              <w:pStyle w:val="Paragrafoelenco"/>
              <w:rPr>
                <w:rFonts w:ascii="Calibri" w:eastAsia="Calibri" w:hAnsi="Calibri" w:cs="Calibri"/>
                <w:kern w:val="2"/>
                <w:sz w:val="20"/>
                <w:szCs w:val="20"/>
                <w:lang w:eastAsia="ar-SA"/>
              </w:rPr>
            </w:pPr>
          </w:p>
          <w:p w:rsidR="00062AD0" w:rsidRPr="008C21B4" w:rsidRDefault="00062AD0" w:rsidP="008C21B4">
            <w:pPr>
              <w:pStyle w:val="Paragrafoelenco"/>
              <w:numPr>
                <w:ilvl w:val="0"/>
                <w:numId w:val="20"/>
              </w:numPr>
              <w:rPr>
                <w:rFonts w:ascii="Calibri" w:eastAsia="Calibri" w:hAnsi="Calibri" w:cs="Calibri"/>
                <w:kern w:val="2"/>
                <w:sz w:val="20"/>
                <w:szCs w:val="20"/>
                <w:lang w:eastAsia="ar-SA"/>
              </w:rPr>
            </w:pPr>
            <w:r w:rsidRPr="008C21B4">
              <w:rPr>
                <w:rFonts w:ascii="Calibri" w:eastAsia="Calibri" w:hAnsi="Calibri" w:cs="Calibri"/>
                <w:kern w:val="2"/>
                <w:sz w:val="20"/>
                <w:szCs w:val="20"/>
                <w:lang w:eastAsia="ar-SA"/>
              </w:rPr>
              <w:t>L'Avvento: storia e significato teologico, la corona dell'Avvento. L'Annunciazione, Giuseppe assume la paternità legale di Gesù, la visitazione, il Magnificat: lettura e commento dei brani dai Vangeli di Luca e di Matteo.</w:t>
            </w:r>
          </w:p>
          <w:p w:rsidR="00062AD0" w:rsidRPr="0082307C" w:rsidRDefault="00062AD0" w:rsidP="00062AD0">
            <w:pPr>
              <w:pStyle w:val="Paragrafoelenco"/>
              <w:numPr>
                <w:ilvl w:val="0"/>
                <w:numId w:val="16"/>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 xml:space="preserve">Il dogma dell'Immacolata </w:t>
            </w:r>
            <w:r>
              <w:rPr>
                <w:rFonts w:ascii="Calibri" w:eastAsia="Calibri" w:hAnsi="Calibri" w:cs="Calibri"/>
                <w:kern w:val="2"/>
                <w:sz w:val="20"/>
                <w:szCs w:val="20"/>
                <w:lang w:eastAsia="ar-SA"/>
              </w:rPr>
              <w:t xml:space="preserve">Concezione, i </w:t>
            </w:r>
            <w:r w:rsidRPr="0082307C">
              <w:rPr>
                <w:rFonts w:ascii="Calibri" w:eastAsia="Calibri" w:hAnsi="Calibri" w:cs="Calibri"/>
                <w:kern w:val="2"/>
                <w:sz w:val="20"/>
                <w:szCs w:val="20"/>
                <w:lang w:eastAsia="ar-SA"/>
              </w:rPr>
              <w:t>dogmi mariani</w:t>
            </w:r>
            <w:r>
              <w:rPr>
                <w:rFonts w:ascii="Calibri" w:eastAsia="Calibri" w:hAnsi="Calibri" w:cs="Calibri"/>
                <w:kern w:val="2"/>
                <w:sz w:val="20"/>
                <w:szCs w:val="20"/>
                <w:lang w:eastAsia="ar-SA"/>
              </w:rPr>
              <w:t>, la casa di Maria.</w:t>
            </w:r>
          </w:p>
          <w:p w:rsidR="0082307C" w:rsidRPr="0082307C" w:rsidRDefault="00062AD0" w:rsidP="00062AD0">
            <w:pPr>
              <w:pStyle w:val="Paragrafoelenco"/>
              <w:ind w:left="645"/>
              <w:rPr>
                <w:rFonts w:ascii="Calibri" w:eastAsia="Calibri" w:hAnsi="Calibri" w:cs="Calibri"/>
                <w:kern w:val="2"/>
                <w:sz w:val="20"/>
                <w:szCs w:val="20"/>
                <w:lang w:eastAsia="ar-SA"/>
              </w:rPr>
            </w:pPr>
            <w:r>
              <w:rPr>
                <w:rFonts w:ascii="Calibri" w:eastAsia="Calibri" w:hAnsi="Calibri" w:cs="Calibri"/>
                <w:kern w:val="2"/>
                <w:sz w:val="20"/>
                <w:szCs w:val="20"/>
                <w:lang w:eastAsia="ar-SA"/>
              </w:rPr>
              <w:t xml:space="preserve"> </w:t>
            </w:r>
            <w:r w:rsidRPr="0082307C">
              <w:rPr>
                <w:rFonts w:ascii="Calibri" w:eastAsia="Calibri" w:hAnsi="Calibri" w:cs="Calibri"/>
                <w:kern w:val="2"/>
                <w:sz w:val="20"/>
                <w:szCs w:val="20"/>
                <w:lang w:eastAsia="ar-SA"/>
              </w:rPr>
              <w:t>La storia del Natale. La nascita di Gesù: lettura e commento dei brani dai Vangeli di Luca e</w:t>
            </w:r>
            <w:r>
              <w:rPr>
                <w:rFonts w:ascii="Calibri" w:eastAsia="Calibri" w:hAnsi="Calibri" w:cs="Calibri"/>
                <w:kern w:val="2"/>
                <w:sz w:val="20"/>
                <w:szCs w:val="20"/>
                <w:lang w:eastAsia="ar-SA"/>
              </w:rPr>
              <w:t xml:space="preserve"> di</w:t>
            </w:r>
            <w:r w:rsidRPr="0082307C">
              <w:rPr>
                <w:rFonts w:ascii="Calibri" w:eastAsia="Calibri" w:hAnsi="Calibri" w:cs="Calibri"/>
                <w:kern w:val="2"/>
                <w:sz w:val="20"/>
                <w:szCs w:val="20"/>
                <w:lang w:eastAsia="ar-SA"/>
              </w:rPr>
              <w:t xml:space="preserve"> Matteo. Le t</w:t>
            </w:r>
            <w:r>
              <w:rPr>
                <w:rFonts w:ascii="Calibri" w:eastAsia="Calibri" w:hAnsi="Calibri" w:cs="Calibri"/>
                <w:kern w:val="2"/>
                <w:sz w:val="20"/>
                <w:szCs w:val="20"/>
                <w:lang w:eastAsia="ar-SA"/>
              </w:rPr>
              <w:t xml:space="preserve">radizioni natalizie: il presepe: storia e significato del termine, </w:t>
            </w:r>
            <w:r w:rsidRPr="0082307C">
              <w:rPr>
                <w:rFonts w:ascii="Calibri" w:eastAsia="Calibri" w:hAnsi="Calibri" w:cs="Calibri"/>
                <w:kern w:val="2"/>
                <w:sz w:val="20"/>
                <w:szCs w:val="20"/>
                <w:lang w:eastAsia="ar-SA"/>
              </w:rPr>
              <w:t>l'albero di Natale</w:t>
            </w:r>
            <w:r>
              <w:rPr>
                <w:rFonts w:ascii="Calibri" w:eastAsia="Calibri" w:hAnsi="Calibri" w:cs="Calibri"/>
                <w:kern w:val="2"/>
                <w:sz w:val="20"/>
                <w:szCs w:val="20"/>
                <w:lang w:eastAsia="ar-SA"/>
              </w:rPr>
              <w:t>, S. Nicola di Bari.</w:t>
            </w:r>
            <w:r w:rsidRPr="0082307C">
              <w:rPr>
                <w:rFonts w:ascii="Calibri" w:eastAsia="Calibri" w:hAnsi="Calibri" w:cs="Calibri"/>
                <w:kern w:val="2"/>
                <w:sz w:val="20"/>
                <w:szCs w:val="20"/>
                <w:lang w:eastAsia="ar-SA"/>
              </w:rPr>
              <w:t xml:space="preserve">                             </w:t>
            </w:r>
          </w:p>
        </w:tc>
      </w:tr>
    </w:tbl>
    <w:p w:rsidR="006500C0" w:rsidRDefault="006500C0"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p w:rsidR="00211711" w:rsidRPr="006500C0" w:rsidRDefault="00211711"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3"/>
        <w:gridCol w:w="7933"/>
      </w:tblGrid>
      <w:tr w:rsidR="00C7695D" w:rsidTr="00A50083">
        <w:trPr>
          <w:trHeight w:val="2295"/>
        </w:trPr>
        <w:tc>
          <w:tcPr>
            <w:tcW w:w="10206" w:type="dxa"/>
            <w:gridSpan w:val="2"/>
          </w:tcPr>
          <w:p w:rsidR="00A50083" w:rsidRPr="00A50083" w:rsidRDefault="00A50083" w:rsidP="00A50083">
            <w:pPr>
              <w:pStyle w:val="Paragrafoelenco"/>
              <w:numPr>
                <w:ilvl w:val="0"/>
                <w:numId w:val="18"/>
              </w:numPr>
              <w:rPr>
                <w:sz w:val="20"/>
                <w:szCs w:val="20"/>
              </w:rPr>
            </w:pPr>
            <w:r w:rsidRPr="00A50083">
              <w:rPr>
                <w:sz w:val="20"/>
                <w:szCs w:val="20"/>
              </w:rPr>
              <w:lastRenderedPageBreak/>
              <w:t xml:space="preserve">La Quaresima: un cammino </w:t>
            </w:r>
            <w:r w:rsidRPr="00A50083">
              <w:rPr>
                <w:rFonts w:ascii="Calibri" w:hAnsi="Calibri" w:cs="Calibri"/>
                <w:sz w:val="20"/>
                <w:szCs w:val="20"/>
              </w:rPr>
              <w:t>verso</w:t>
            </w:r>
            <w:r w:rsidRPr="00A50083">
              <w:rPr>
                <w:sz w:val="20"/>
                <w:szCs w:val="20"/>
              </w:rPr>
              <w:t xml:space="preserve"> la Pasqua; le tre tentazioni di Gesù nel deserto</w:t>
            </w:r>
          </w:p>
          <w:p w:rsidR="00C7695D" w:rsidRPr="00C7695D" w:rsidRDefault="00A50083" w:rsidP="00A50083">
            <w:pPr>
              <w:pStyle w:val="Paragrafoelenco"/>
              <w:numPr>
                <w:ilvl w:val="0"/>
                <w:numId w:val="5"/>
              </w:numPr>
              <w:rPr>
                <w:sz w:val="20"/>
                <w:szCs w:val="20"/>
              </w:rPr>
            </w:pPr>
            <w:r w:rsidRPr="00B2263E">
              <w:rPr>
                <w:sz w:val="20"/>
                <w:szCs w:val="20"/>
              </w:rPr>
              <w:t xml:space="preserve">La santa Pasqua: il significato del termine, differenza tra Pasqua ebraica e Pasqua cristiana, il </w:t>
            </w:r>
            <w:r>
              <w:rPr>
                <w:sz w:val="20"/>
                <w:szCs w:val="20"/>
              </w:rPr>
              <w:t>calcolo della data, gli eventi fondamentali della vita e del Ministero di Gesù a Gerusalemme: l’ultima cena, l’istituzione dell’Eucaristia, l’istituzione del sacerdozio, la lavanda dei piedi, il comandamento dell’amore, la preghiera nel Getsemani, l’arresto, il processo, la crocifissione, le ultime sette affermazioni di Gesù sulla croce, la morte, la resurrezione. I</w:t>
            </w:r>
            <w:r w:rsidRPr="00B2263E">
              <w:rPr>
                <w:sz w:val="20"/>
                <w:szCs w:val="20"/>
              </w:rPr>
              <w:t xml:space="preserve">l mistero della Sindone, </w:t>
            </w:r>
            <w:r>
              <w:rPr>
                <w:sz w:val="20"/>
                <w:szCs w:val="20"/>
              </w:rPr>
              <w:t>le apparizioni di Gesù risorto. La Settimana Santa, la d</w:t>
            </w:r>
            <w:r w:rsidRPr="00B2263E">
              <w:rPr>
                <w:sz w:val="20"/>
                <w:szCs w:val="20"/>
              </w:rPr>
              <w:t>omenica delle Palme, il Tridu</w:t>
            </w:r>
            <w:r>
              <w:rPr>
                <w:sz w:val="20"/>
                <w:szCs w:val="20"/>
              </w:rPr>
              <w:t xml:space="preserve">o pasquale in Chiesa, </w:t>
            </w:r>
            <w:r w:rsidRPr="00B2263E">
              <w:rPr>
                <w:sz w:val="20"/>
                <w:szCs w:val="20"/>
              </w:rPr>
              <w:t>i riti della notte di Pasqua: rito del fuoco, rito della luce, rito dell'acqua.</w:t>
            </w:r>
          </w:p>
        </w:tc>
      </w:tr>
      <w:tr w:rsidR="00583CF5" w:rsidRPr="008F1F11" w:rsidTr="00A50083">
        <w:trPr>
          <w:trHeight w:val="48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D248B4" w:rsidRPr="00B057C5" w:rsidRDefault="00D248B4" w:rsidP="00D248B4">
            <w:pPr>
              <w:pStyle w:val="Paragrafoelenco"/>
              <w:numPr>
                <w:ilvl w:val="0"/>
                <w:numId w:val="14"/>
              </w:numPr>
              <w:suppressAutoHyphens/>
              <w:spacing w:after="200" w:line="276" w:lineRule="auto"/>
              <w:rPr>
                <w:rFonts w:eastAsia="Times New Roman"/>
                <w:kern w:val="1"/>
                <w:sz w:val="20"/>
                <w:szCs w:val="20"/>
              </w:rPr>
            </w:pPr>
            <w:r w:rsidRPr="00B057C5">
              <w:rPr>
                <w:rFonts w:eastAsia="Times New Roman"/>
                <w:kern w:val="2"/>
                <w:sz w:val="20"/>
                <w:szCs w:val="20"/>
              </w:rPr>
              <w:t>Ecologia e responsabilità dell’uomo</w:t>
            </w:r>
          </w:p>
          <w:p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Modelli di ecologia laica: il prot</w:t>
            </w:r>
            <w:r w:rsidR="00A642CC">
              <w:rPr>
                <w:kern w:val="2"/>
                <w:sz w:val="20"/>
                <w:szCs w:val="20"/>
              </w:rPr>
              <w:t xml:space="preserve">ocollo di Kyoto, il caso “Greta </w:t>
            </w:r>
            <w:proofErr w:type="spellStart"/>
            <w:r w:rsidR="00A642CC">
              <w:rPr>
                <w:kern w:val="2"/>
                <w:sz w:val="20"/>
                <w:szCs w:val="20"/>
              </w:rPr>
              <w:t>Thunberg</w:t>
            </w:r>
            <w:proofErr w:type="spellEnd"/>
            <w:r w:rsidR="00A642CC">
              <w:rPr>
                <w:kern w:val="2"/>
                <w:sz w:val="20"/>
                <w:szCs w:val="20"/>
              </w:rPr>
              <w:t>”</w:t>
            </w:r>
          </w:p>
          <w:p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Salvaguardia del Creato secondo i cristiani: il libro della Genesi</w:t>
            </w:r>
          </w:p>
          <w:p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Il dovere dell’</w:t>
            </w:r>
            <w:proofErr w:type="spellStart"/>
            <w:r w:rsidRPr="00B057C5">
              <w:rPr>
                <w:kern w:val="2"/>
                <w:sz w:val="20"/>
                <w:szCs w:val="20"/>
              </w:rPr>
              <w:t>ecosostenibilità</w:t>
            </w:r>
            <w:proofErr w:type="spellEnd"/>
          </w:p>
          <w:p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Filosofia, religioni e problema di senso</w:t>
            </w:r>
          </w:p>
          <w:p w:rsidR="00D248B4" w:rsidRPr="00B057C5" w:rsidRDefault="00D248B4" w:rsidP="000363C1">
            <w:pPr>
              <w:pStyle w:val="Paragrafoelenco"/>
              <w:numPr>
                <w:ilvl w:val="0"/>
                <w:numId w:val="14"/>
              </w:numPr>
              <w:suppressAutoHyphens/>
              <w:spacing w:after="200" w:line="276" w:lineRule="auto"/>
              <w:rPr>
                <w:kern w:val="2"/>
                <w:sz w:val="20"/>
                <w:szCs w:val="20"/>
              </w:rPr>
            </w:pPr>
            <w:r w:rsidRPr="00B057C5">
              <w:rPr>
                <w:rFonts w:eastAsia="Times New Roman"/>
                <w:kern w:val="2"/>
                <w:sz w:val="20"/>
                <w:szCs w:val="20"/>
              </w:rPr>
              <w:t>Il pensiero cristiano: la complementarietà fra sapere scientifico e sapere della fede</w:t>
            </w:r>
            <w:r w:rsidR="000363C1">
              <w:rPr>
                <w:rFonts w:eastAsia="Times New Roman"/>
                <w:kern w:val="2"/>
                <w:sz w:val="20"/>
                <w:szCs w:val="20"/>
              </w:rPr>
              <w:t>.</w:t>
            </w:r>
            <w:r w:rsidR="000363C1">
              <w:t xml:space="preserve"> </w:t>
            </w:r>
            <w:r w:rsidR="000363C1">
              <w:rPr>
                <w:rFonts w:eastAsia="Times New Roman"/>
                <w:kern w:val="2"/>
                <w:sz w:val="20"/>
                <w:szCs w:val="20"/>
              </w:rPr>
              <w:t xml:space="preserve">Il dialogo fede e scienza, la fede e la ragione, le </w:t>
            </w:r>
            <w:r w:rsidR="000363C1" w:rsidRPr="000363C1">
              <w:rPr>
                <w:rFonts w:eastAsia="Times New Roman"/>
                <w:kern w:val="2"/>
                <w:sz w:val="20"/>
                <w:szCs w:val="20"/>
              </w:rPr>
              <w:t>due</w:t>
            </w:r>
            <w:r w:rsidR="000363C1">
              <w:rPr>
                <w:rFonts w:eastAsia="Times New Roman"/>
                <w:kern w:val="2"/>
                <w:sz w:val="20"/>
                <w:szCs w:val="20"/>
              </w:rPr>
              <w:t xml:space="preserve"> ali della verità. Il pericolo </w:t>
            </w:r>
            <w:r w:rsidR="000363C1" w:rsidRPr="000363C1">
              <w:rPr>
                <w:rFonts w:eastAsia="Times New Roman"/>
                <w:kern w:val="2"/>
                <w:sz w:val="20"/>
                <w:szCs w:val="20"/>
              </w:rPr>
              <w:t xml:space="preserve">per la scienza. L'armonia tra scienza e fede. </w:t>
            </w:r>
            <w:r w:rsidR="000363C1">
              <w:rPr>
                <w:rFonts w:eastAsia="Times New Roman"/>
                <w:kern w:val="2"/>
                <w:sz w:val="20"/>
                <w:szCs w:val="20"/>
              </w:rPr>
              <w:t xml:space="preserve">Un utilizzo umile della scienza </w:t>
            </w:r>
          </w:p>
          <w:p w:rsidR="00D248B4" w:rsidRPr="00B057C5" w:rsidRDefault="00F0385C" w:rsidP="00F0385C">
            <w:pPr>
              <w:pStyle w:val="Paragrafoelenco"/>
              <w:numPr>
                <w:ilvl w:val="0"/>
                <w:numId w:val="14"/>
              </w:numPr>
              <w:suppressAutoHyphens/>
              <w:spacing w:after="200" w:line="276" w:lineRule="auto"/>
              <w:rPr>
                <w:kern w:val="2"/>
                <w:sz w:val="20"/>
                <w:szCs w:val="20"/>
              </w:rPr>
            </w:pPr>
            <w:r w:rsidRPr="00F0385C">
              <w:rPr>
                <w:kern w:val="2"/>
                <w:sz w:val="20"/>
                <w:szCs w:val="20"/>
              </w:rPr>
              <w:t xml:space="preserve">La questione </w:t>
            </w:r>
            <w:r w:rsidR="00D248B4" w:rsidRPr="00B057C5">
              <w:rPr>
                <w:kern w:val="2"/>
                <w:sz w:val="20"/>
                <w:szCs w:val="20"/>
              </w:rPr>
              <w:t>“Galileo Galilei”</w:t>
            </w:r>
          </w:p>
          <w:p w:rsidR="00D248B4" w:rsidRDefault="00D248B4" w:rsidP="00F0385C">
            <w:pPr>
              <w:pStyle w:val="Paragrafoelenco"/>
              <w:numPr>
                <w:ilvl w:val="0"/>
                <w:numId w:val="14"/>
              </w:numPr>
              <w:suppressAutoHyphens/>
              <w:spacing w:after="200" w:line="276" w:lineRule="auto"/>
              <w:rPr>
                <w:kern w:val="2"/>
                <w:sz w:val="20"/>
                <w:szCs w:val="20"/>
              </w:rPr>
            </w:pPr>
            <w:r w:rsidRPr="000964A7">
              <w:rPr>
                <w:kern w:val="2"/>
                <w:sz w:val="20"/>
                <w:szCs w:val="20"/>
              </w:rPr>
              <w:t>Creazionismo ed Evoluzionismo</w:t>
            </w:r>
          </w:p>
          <w:p w:rsidR="00993C7C" w:rsidRPr="00993C7C" w:rsidRDefault="00993C7C" w:rsidP="00993C7C">
            <w:pPr>
              <w:pStyle w:val="Paragrafoelenco"/>
              <w:numPr>
                <w:ilvl w:val="0"/>
                <w:numId w:val="14"/>
              </w:numPr>
              <w:suppressAutoHyphens/>
              <w:spacing w:after="200" w:line="276" w:lineRule="auto"/>
              <w:rPr>
                <w:kern w:val="2"/>
                <w:sz w:val="20"/>
                <w:szCs w:val="20"/>
              </w:rPr>
            </w:pPr>
            <w:r w:rsidRPr="00993C7C">
              <w:rPr>
                <w:kern w:val="2"/>
                <w:sz w:val="20"/>
                <w:szCs w:val="20"/>
              </w:rPr>
              <w:t xml:space="preserve">Le origini del mondo secondo la Bibbia, secondo la filosofia e secondo la scienza.                                                                                                                                                                                                                            </w:t>
            </w:r>
          </w:p>
          <w:p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Il movimento ecumenico</w:t>
            </w:r>
          </w:p>
          <w:p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Un’etica della convivenza multiculturale: uguaglianza, non violenza, accoglienza, razzismo</w:t>
            </w:r>
          </w:p>
          <w:p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Migrazione e globalizzazione</w:t>
            </w:r>
          </w:p>
          <w:p w:rsidR="00D248B4" w:rsidRPr="00D248B4" w:rsidRDefault="00D248B4" w:rsidP="00D248B4">
            <w:pPr>
              <w:pStyle w:val="Paragrafoelenco"/>
              <w:numPr>
                <w:ilvl w:val="0"/>
                <w:numId w:val="14"/>
              </w:numPr>
              <w:suppressAutoHyphens/>
              <w:spacing w:after="200" w:line="276" w:lineRule="auto"/>
              <w:rPr>
                <w:kern w:val="2"/>
                <w:sz w:val="20"/>
                <w:szCs w:val="20"/>
              </w:rPr>
            </w:pPr>
            <w:r w:rsidRPr="000964A7">
              <w:rPr>
                <w:rFonts w:eastAsia="Times New Roman"/>
                <w:kern w:val="2"/>
                <w:sz w:val="20"/>
                <w:szCs w:val="20"/>
              </w:rPr>
              <w:t>Fede</w:t>
            </w:r>
            <w:r>
              <w:rPr>
                <w:rFonts w:eastAsia="Times New Roman"/>
                <w:kern w:val="2"/>
                <w:sz w:val="20"/>
                <w:szCs w:val="20"/>
              </w:rPr>
              <w:t>, fondamentalismo e integralismo</w:t>
            </w:r>
          </w:p>
        </w:tc>
      </w:tr>
      <w:tr w:rsidR="00D248B4" w:rsidRPr="008F1F11" w:rsidTr="00A50083">
        <w:trPr>
          <w:trHeight w:val="302"/>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D248B4" w:rsidRPr="00D248B4" w:rsidRDefault="00D248B4" w:rsidP="00D248B4">
            <w:pPr>
              <w:pStyle w:val="Paragrafoelenco"/>
              <w:ind w:left="645" w:hanging="360"/>
              <w:rPr>
                <w:sz w:val="20"/>
                <w:szCs w:val="20"/>
              </w:rPr>
            </w:pPr>
            <w:r w:rsidRPr="00583CF5">
              <w:rPr>
                <w:sz w:val="20"/>
                <w:szCs w:val="20"/>
              </w:rPr>
              <w:t>U.D.A. di riferimento:</w:t>
            </w:r>
            <w:r w:rsidR="00A642CC">
              <w:rPr>
                <w:sz w:val="20"/>
                <w:szCs w:val="20"/>
              </w:rPr>
              <w:t xml:space="preserve"> U.D.A. N. 2</w:t>
            </w:r>
            <w:r>
              <w:rPr>
                <w:sz w:val="20"/>
                <w:szCs w:val="20"/>
              </w:rPr>
              <w:t xml:space="preserve"> – </w:t>
            </w:r>
            <w:r w:rsidRPr="00D248B4">
              <w:rPr>
                <w:sz w:val="20"/>
                <w:szCs w:val="20"/>
              </w:rPr>
              <w:t>Il Cristianesimo dinanzi alle sfide contemporanee</w:t>
            </w:r>
          </w:p>
        </w:tc>
      </w:tr>
      <w:tr w:rsidR="00D248B4" w:rsidRPr="008F1F11" w:rsidTr="00A50083">
        <w:trPr>
          <w:trHeight w:val="394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1740F1" w:rsidRPr="001740F1" w:rsidRDefault="001740F1" w:rsidP="001740F1">
            <w:pPr>
              <w:numPr>
                <w:ilvl w:val="0"/>
                <w:numId w:val="15"/>
              </w:numPr>
              <w:suppressAutoHyphens/>
              <w:spacing w:after="0" w:line="240" w:lineRule="auto"/>
              <w:contextualSpacing/>
              <w:rPr>
                <w:rFonts w:ascii="Calibri" w:eastAsia="Times New Roman" w:hAnsi="Calibri" w:cs="Calibri"/>
                <w:kern w:val="2"/>
                <w:sz w:val="20"/>
                <w:szCs w:val="20"/>
                <w:lang w:eastAsia="ar-SA"/>
              </w:rPr>
            </w:pPr>
            <w:r w:rsidRPr="001740F1">
              <w:rPr>
                <w:rFonts w:ascii="Calibri" w:eastAsia="Times New Roman" w:hAnsi="Calibri" w:cs="Calibri"/>
                <w:kern w:val="2"/>
                <w:sz w:val="20"/>
                <w:szCs w:val="20"/>
                <w:lang w:eastAsia="ar-SA"/>
              </w:rPr>
              <w:t>Cos’è la Bioetica</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Le questioni del relativismo, del soggettivismo e dell’utilitarismo morale</w:t>
            </w:r>
          </w:p>
          <w:p w:rsidR="001740F1" w:rsidRPr="001740F1" w:rsidRDefault="001740F1" w:rsidP="006C43FF">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Origine della vita: la discussione sullo statuto ontologico dell’embrione umano: principali modelli interpretativi</w:t>
            </w:r>
            <w:r w:rsidR="008C21B4">
              <w:rPr>
                <w:rFonts w:ascii="Calibri" w:eastAsia="Times New Roman" w:hAnsi="Calibri" w:cs="Calibri"/>
                <w:kern w:val="2"/>
                <w:sz w:val="20"/>
                <w:szCs w:val="20"/>
                <w:lang w:eastAsia="ar-SA"/>
              </w:rPr>
              <w:t>; l</w:t>
            </w:r>
            <w:r w:rsidR="006C43FF">
              <w:rPr>
                <w:rFonts w:ascii="Calibri" w:eastAsia="Times New Roman" w:hAnsi="Calibri" w:cs="Calibri"/>
                <w:kern w:val="2"/>
                <w:sz w:val="20"/>
                <w:szCs w:val="20"/>
                <w:lang w:eastAsia="ar-SA"/>
              </w:rPr>
              <w:t>a</w:t>
            </w:r>
            <w:r w:rsidR="006C43FF">
              <w:t xml:space="preserve"> </w:t>
            </w:r>
            <w:r w:rsidR="006C43FF">
              <w:rPr>
                <w:rFonts w:ascii="Calibri" w:eastAsia="Times New Roman" w:hAnsi="Calibri" w:cs="Calibri"/>
                <w:kern w:val="2"/>
                <w:sz w:val="20"/>
                <w:szCs w:val="20"/>
                <w:lang w:eastAsia="ar-SA"/>
              </w:rPr>
              <w:t xml:space="preserve">sperimentazione sugli embrioni  </w:t>
            </w:r>
          </w:p>
          <w:p w:rsidR="001740F1" w:rsidRPr="00701128"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La clonazione e le manipolazioni genetiche,</w:t>
            </w:r>
            <w:r w:rsidR="00701128">
              <w:rPr>
                <w:rFonts w:ascii="Calibri" w:eastAsia="Times New Roman" w:hAnsi="Calibri" w:cs="Calibri"/>
                <w:kern w:val="2"/>
                <w:sz w:val="20"/>
                <w:szCs w:val="20"/>
                <w:lang w:eastAsia="ar-SA"/>
              </w:rPr>
              <w:t xml:space="preserve"> la terapia genica,</w:t>
            </w:r>
            <w:r w:rsidRPr="001740F1">
              <w:rPr>
                <w:rFonts w:ascii="Calibri" w:eastAsia="Times New Roman" w:hAnsi="Calibri" w:cs="Calibri"/>
                <w:kern w:val="2"/>
                <w:sz w:val="20"/>
                <w:szCs w:val="20"/>
                <w:lang w:eastAsia="ar-SA"/>
              </w:rPr>
              <w:t xml:space="preserve"> la fecondazione assistita</w:t>
            </w:r>
          </w:p>
          <w:p w:rsidR="00701128" w:rsidRPr="001740F1" w:rsidRDefault="00701128" w:rsidP="00701128">
            <w:pPr>
              <w:numPr>
                <w:ilvl w:val="0"/>
                <w:numId w:val="15"/>
              </w:numPr>
              <w:suppressAutoHyphens/>
              <w:spacing w:after="200" w:line="276" w:lineRule="auto"/>
              <w:contextualSpacing/>
              <w:rPr>
                <w:rFonts w:ascii="Calibri" w:eastAsia="Calibri" w:hAnsi="Calibri" w:cs="Calibri"/>
                <w:kern w:val="2"/>
                <w:sz w:val="20"/>
                <w:szCs w:val="20"/>
                <w:lang w:eastAsia="ar-SA"/>
              </w:rPr>
            </w:pPr>
            <w:r>
              <w:rPr>
                <w:rFonts w:ascii="Calibri" w:eastAsia="Calibri" w:hAnsi="Calibri" w:cs="Calibri"/>
                <w:kern w:val="2"/>
                <w:sz w:val="20"/>
                <w:szCs w:val="20"/>
                <w:lang w:eastAsia="ar-SA"/>
              </w:rPr>
              <w:t>L</w:t>
            </w:r>
            <w:r w:rsidRPr="00701128">
              <w:rPr>
                <w:rFonts w:ascii="Calibri" w:eastAsia="Calibri" w:hAnsi="Calibri" w:cs="Calibri"/>
                <w:kern w:val="2"/>
                <w:sz w:val="20"/>
                <w:szCs w:val="20"/>
                <w:lang w:eastAsia="ar-SA"/>
              </w:rPr>
              <w:t>'uso tera</w:t>
            </w:r>
            <w:r>
              <w:rPr>
                <w:rFonts w:ascii="Calibri" w:eastAsia="Calibri" w:hAnsi="Calibri" w:cs="Calibri"/>
                <w:kern w:val="2"/>
                <w:sz w:val="20"/>
                <w:szCs w:val="20"/>
                <w:lang w:eastAsia="ar-SA"/>
              </w:rPr>
              <w:t>peutico delle cellule staminali</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L’aborto</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Etica dei trapianti e della donazione</w:t>
            </w:r>
          </w:p>
          <w:p w:rsidR="00A75C29" w:rsidRPr="00A75C29" w:rsidRDefault="001740F1" w:rsidP="00A75C29">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Fine vita: eutanasia, suicidio, eugenetica, cure palliative ed accanimento terapeutico. Il problema dell’alimentazione e dell’idrataz</w:t>
            </w:r>
            <w:r w:rsidR="008C21B4">
              <w:rPr>
                <w:rFonts w:ascii="Calibri" w:eastAsia="Calibri" w:hAnsi="Calibri" w:cs="Calibri"/>
                <w:kern w:val="2"/>
                <w:sz w:val="20"/>
                <w:szCs w:val="20"/>
                <w:lang w:eastAsia="ar-SA"/>
              </w:rPr>
              <w:t xml:space="preserve">ione. La questione del living </w:t>
            </w:r>
            <w:proofErr w:type="spellStart"/>
            <w:r w:rsidRPr="001740F1">
              <w:rPr>
                <w:rFonts w:ascii="Calibri" w:eastAsia="Calibri" w:hAnsi="Calibri" w:cs="Calibri"/>
                <w:kern w:val="2"/>
                <w:sz w:val="20"/>
                <w:szCs w:val="20"/>
                <w:lang w:eastAsia="ar-SA"/>
              </w:rPr>
              <w:t>will</w:t>
            </w:r>
            <w:proofErr w:type="spellEnd"/>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Dio e il problema della sofferenza umana</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 sessualità nella Bibbia</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La violenza contro donne e bambini</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 contraccezione</w:t>
            </w:r>
          </w:p>
          <w:p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Prima del matrimonio</w:t>
            </w:r>
          </w:p>
          <w:p w:rsidR="00D248B4" w:rsidRPr="00583CF5" w:rsidRDefault="001740F1" w:rsidP="001740F1">
            <w:pPr>
              <w:numPr>
                <w:ilvl w:val="0"/>
                <w:numId w:val="15"/>
              </w:numPr>
              <w:suppressAutoHyphens/>
              <w:spacing w:after="200" w:line="276" w:lineRule="auto"/>
              <w:contextualSpacing/>
              <w:rPr>
                <w:sz w:val="20"/>
                <w:szCs w:val="20"/>
              </w:rPr>
            </w:pPr>
            <w:r w:rsidRPr="001740F1">
              <w:rPr>
                <w:rFonts w:ascii="Calibri" w:eastAsia="Times New Roman" w:hAnsi="Calibri" w:cs="Calibri"/>
                <w:kern w:val="2"/>
                <w:sz w:val="20"/>
                <w:szCs w:val="20"/>
                <w:lang w:eastAsia="ar-SA"/>
              </w:rPr>
              <w:t>Vita come progetto e compito</w:t>
            </w:r>
            <w:r w:rsidRPr="001740F1">
              <w:rPr>
                <w:rFonts w:ascii="Calibri" w:eastAsia="Times New Roman" w:hAnsi="Calibri" w:cs="Calibri"/>
                <w:kern w:val="1"/>
                <w:sz w:val="20"/>
                <w:szCs w:val="20"/>
                <w:lang w:eastAsia="ar-SA"/>
              </w:rPr>
              <w:t xml:space="preserve"> </w:t>
            </w:r>
          </w:p>
        </w:tc>
      </w:tr>
      <w:tr w:rsidR="001740F1" w:rsidRPr="008F1F11" w:rsidTr="00A50083">
        <w:trPr>
          <w:trHeight w:val="316"/>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1740F1" w:rsidRPr="001740F1" w:rsidRDefault="001740F1" w:rsidP="001740F1">
            <w:pPr>
              <w:suppressAutoHyphens/>
              <w:spacing w:after="200" w:line="276" w:lineRule="auto"/>
              <w:rPr>
                <w:rFonts w:ascii="Calibri" w:eastAsia="Times New Roman" w:hAnsi="Calibri" w:cs="Calibri"/>
                <w:kern w:val="2"/>
                <w:sz w:val="20"/>
                <w:szCs w:val="20"/>
                <w:lang w:eastAsia="ar-SA"/>
              </w:rPr>
            </w:pPr>
            <w:r w:rsidRPr="001740F1">
              <w:rPr>
                <w:rFonts w:ascii="Calibri" w:eastAsia="Times New Roman" w:hAnsi="Calibri" w:cs="Calibri"/>
                <w:kern w:val="1"/>
                <w:sz w:val="20"/>
                <w:szCs w:val="20"/>
                <w:lang w:eastAsia="ar-SA"/>
              </w:rPr>
              <w:t>U.</w:t>
            </w:r>
            <w:r w:rsidR="00A75C29">
              <w:rPr>
                <w:rFonts w:ascii="Calibri" w:eastAsia="Times New Roman" w:hAnsi="Calibri" w:cs="Calibri"/>
                <w:kern w:val="1"/>
                <w:sz w:val="20"/>
                <w:szCs w:val="20"/>
                <w:lang w:eastAsia="ar-SA"/>
              </w:rPr>
              <w:t>D.A. di riferimento: U.D.A. N. 3</w:t>
            </w:r>
            <w:r w:rsidRPr="001740F1">
              <w:rPr>
                <w:rFonts w:ascii="Calibri" w:eastAsia="Times New Roman" w:hAnsi="Calibri" w:cs="Calibri"/>
                <w:kern w:val="1"/>
                <w:sz w:val="20"/>
                <w:szCs w:val="20"/>
                <w:lang w:eastAsia="ar-SA"/>
              </w:rPr>
              <w:t xml:space="preserve"> – </w:t>
            </w:r>
            <w:r w:rsidRPr="001740F1">
              <w:rPr>
                <w:rFonts w:ascii="Calibri" w:eastAsia="Times New Roman" w:hAnsi="Calibri" w:cs="Calibri"/>
                <w:kern w:val="2"/>
                <w:sz w:val="20"/>
                <w:szCs w:val="20"/>
                <w:lang w:eastAsia="ar-SA"/>
              </w:rPr>
              <w:t>Le sfide della vita</w:t>
            </w:r>
          </w:p>
        </w:tc>
      </w:tr>
      <w:tr w:rsidR="00827911" w:rsidRPr="00827911" w:rsidTr="00A50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2273" w:type="dxa"/>
            <w:tcBorders>
              <w:top w:val="single" w:sz="4" w:space="0" w:color="000000"/>
              <w:left w:val="single" w:sz="4" w:space="0" w:color="000000"/>
              <w:bottom w:val="single" w:sz="4" w:space="0" w:color="000000"/>
            </w:tcBorders>
            <w:shd w:val="clear" w:color="auto" w:fill="auto"/>
            <w:vAlign w:val="center"/>
          </w:tcPr>
          <w:p w:rsidR="00827911" w:rsidRPr="00827911" w:rsidRDefault="00827911" w:rsidP="00827911">
            <w:pPr>
              <w:suppressAutoHyphens/>
              <w:spacing w:before="240" w:after="60" w:line="240" w:lineRule="auto"/>
              <w:ind w:right="426"/>
              <w:rPr>
                <w:rFonts w:ascii="Times New Roman" w:eastAsia="Calibri" w:hAnsi="Times New Roman" w:cs="Times New Roman"/>
                <w:sz w:val="24"/>
                <w:szCs w:val="24"/>
                <w:lang w:eastAsia="ar-SA"/>
              </w:rPr>
            </w:pPr>
            <w:r w:rsidRPr="00827911">
              <w:rPr>
                <w:rFonts w:ascii="Times New Roman" w:eastAsia="Times New Roman" w:hAnsi="Times New Roman" w:cs="Times New Roman"/>
                <w:lang w:eastAsia="ar-SA"/>
              </w:rPr>
              <w:t>Firma del Docente</w:t>
            </w:r>
          </w:p>
        </w:tc>
        <w:tc>
          <w:tcPr>
            <w:tcW w:w="7933" w:type="dxa"/>
            <w:tcBorders>
              <w:top w:val="single" w:sz="4" w:space="0" w:color="000000"/>
              <w:left w:val="single" w:sz="4" w:space="0" w:color="000000"/>
              <w:bottom w:val="single" w:sz="4" w:space="0" w:color="000000"/>
              <w:right w:val="single" w:sz="4" w:space="0" w:color="auto"/>
            </w:tcBorders>
            <w:shd w:val="clear" w:color="auto" w:fill="auto"/>
            <w:vAlign w:val="center"/>
          </w:tcPr>
          <w:p w:rsidR="00D02001" w:rsidRPr="00827911" w:rsidRDefault="00D02001" w:rsidP="00827911">
            <w:pPr>
              <w:suppressAutoHyphens/>
              <w:snapToGrid w:val="0"/>
              <w:spacing w:line="276" w:lineRule="auto"/>
              <w:ind w:right="426"/>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Antonio Lamberti</w:t>
            </w:r>
          </w:p>
        </w:tc>
      </w:tr>
    </w:tbl>
    <w:p w:rsidR="00C7695D" w:rsidRDefault="00C7695D" w:rsidP="00203EB9">
      <w:pPr>
        <w:rPr>
          <w:sz w:val="20"/>
          <w:szCs w:val="20"/>
        </w:rPr>
      </w:pPr>
    </w:p>
    <w:sectPr w:rsidR="00C76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Yu Gothic"/>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2"/>
        <w:kern w:val="1"/>
        <w:sz w:val="20"/>
        <w:szCs w:val="20"/>
        <w:lang w:eastAsia="it-IT" w:bidi="it-IT"/>
      </w:rPr>
    </w:lvl>
    <w:lvl w:ilvl="1">
      <w:start w:val="1"/>
      <w:numFmt w:val="bullet"/>
      <w:lvlText w:val="□"/>
      <w:lvlJc w:val="left"/>
      <w:pPr>
        <w:tabs>
          <w:tab w:val="num" w:pos="757"/>
        </w:tabs>
        <w:ind w:left="757" w:hanging="360"/>
      </w:pPr>
      <w:rPr>
        <w:rFonts w:ascii="Arial" w:hAnsi="Arial" w:cs="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Open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Open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2"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3561970"/>
    <w:multiLevelType w:val="hybridMultilevel"/>
    <w:tmpl w:val="36A2608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08CA518D"/>
    <w:multiLevelType w:val="hybridMultilevel"/>
    <w:tmpl w:val="084A3A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5" w15:restartNumberingAfterBreak="0">
    <w:nsid w:val="1A7111B3"/>
    <w:multiLevelType w:val="hybridMultilevel"/>
    <w:tmpl w:val="86C81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1B2770"/>
    <w:multiLevelType w:val="hybridMultilevel"/>
    <w:tmpl w:val="F52AD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EC7EBD"/>
    <w:multiLevelType w:val="hybridMultilevel"/>
    <w:tmpl w:val="FD22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333C19"/>
    <w:multiLevelType w:val="hybridMultilevel"/>
    <w:tmpl w:val="9372263A"/>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9" w15:restartNumberingAfterBreak="0">
    <w:nsid w:val="32342471"/>
    <w:multiLevelType w:val="hybridMultilevel"/>
    <w:tmpl w:val="E61AF9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4C411AE"/>
    <w:multiLevelType w:val="hybridMultilevel"/>
    <w:tmpl w:val="82FA50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61C5756"/>
    <w:multiLevelType w:val="hybridMultilevel"/>
    <w:tmpl w:val="69EA9C6E"/>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2" w15:restartNumberingAfterBreak="0">
    <w:nsid w:val="4AD46485"/>
    <w:multiLevelType w:val="hybridMultilevel"/>
    <w:tmpl w:val="20C21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702A69"/>
    <w:multiLevelType w:val="hybridMultilevel"/>
    <w:tmpl w:val="5E3C803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59E55CC8"/>
    <w:multiLevelType w:val="hybridMultilevel"/>
    <w:tmpl w:val="6CE4D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2E0A6C"/>
    <w:multiLevelType w:val="hybridMultilevel"/>
    <w:tmpl w:val="0E122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6E1DC7"/>
    <w:multiLevelType w:val="hybridMultilevel"/>
    <w:tmpl w:val="07103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0E6FDC"/>
    <w:multiLevelType w:val="hybridMultilevel"/>
    <w:tmpl w:val="A5486324"/>
    <w:lvl w:ilvl="0" w:tplc="04100001">
      <w:start w:val="1"/>
      <w:numFmt w:val="bullet"/>
      <w:lvlText w:val=""/>
      <w:lvlJc w:val="left"/>
      <w:pPr>
        <w:ind w:left="121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B65DC4"/>
    <w:multiLevelType w:val="hybridMultilevel"/>
    <w:tmpl w:val="0AB66B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0"/>
  </w:num>
  <w:num w:numId="4">
    <w:abstractNumId w:val="9"/>
  </w:num>
  <w:num w:numId="5">
    <w:abstractNumId w:val="6"/>
  </w:num>
  <w:num w:numId="6">
    <w:abstractNumId w:val="4"/>
  </w:num>
  <w:num w:numId="7">
    <w:abstractNumId w:val="0"/>
  </w:num>
  <w:num w:numId="8">
    <w:abstractNumId w:val="1"/>
  </w:num>
  <w:num w:numId="9">
    <w:abstractNumId w:val="2"/>
  </w:num>
  <w:num w:numId="10">
    <w:abstractNumId w:val="13"/>
  </w:num>
  <w:num w:numId="11">
    <w:abstractNumId w:val="11"/>
  </w:num>
  <w:num w:numId="12">
    <w:abstractNumId w:val="16"/>
  </w:num>
  <w:num w:numId="13">
    <w:abstractNumId w:val="12"/>
  </w:num>
  <w:num w:numId="14">
    <w:abstractNumId w:val="17"/>
  </w:num>
  <w:num w:numId="15">
    <w:abstractNumId w:val="5"/>
  </w:num>
  <w:num w:numId="16">
    <w:abstractNumId w:val="7"/>
  </w:num>
  <w:num w:numId="17">
    <w:abstractNumId w:val="8"/>
  </w:num>
  <w:num w:numId="18">
    <w:abstractNumId w:val="15"/>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88"/>
    <w:rsid w:val="000077AD"/>
    <w:rsid w:val="000363C1"/>
    <w:rsid w:val="0005741D"/>
    <w:rsid w:val="000611A5"/>
    <w:rsid w:val="00062AD0"/>
    <w:rsid w:val="00072B9F"/>
    <w:rsid w:val="000805BB"/>
    <w:rsid w:val="000E4543"/>
    <w:rsid w:val="001079E9"/>
    <w:rsid w:val="00136A70"/>
    <w:rsid w:val="001431A4"/>
    <w:rsid w:val="001740F1"/>
    <w:rsid w:val="00194EFA"/>
    <w:rsid w:val="001E69F5"/>
    <w:rsid w:val="0020016D"/>
    <w:rsid w:val="00203E90"/>
    <w:rsid w:val="00203EB9"/>
    <w:rsid w:val="00211711"/>
    <w:rsid w:val="00222205"/>
    <w:rsid w:val="002A6A53"/>
    <w:rsid w:val="002B3562"/>
    <w:rsid w:val="002F66B1"/>
    <w:rsid w:val="003248B6"/>
    <w:rsid w:val="00336377"/>
    <w:rsid w:val="00342D27"/>
    <w:rsid w:val="00373BB1"/>
    <w:rsid w:val="00396D3C"/>
    <w:rsid w:val="00396F23"/>
    <w:rsid w:val="003F6953"/>
    <w:rsid w:val="003F7488"/>
    <w:rsid w:val="00421088"/>
    <w:rsid w:val="004E7881"/>
    <w:rsid w:val="00507942"/>
    <w:rsid w:val="005173BE"/>
    <w:rsid w:val="00545410"/>
    <w:rsid w:val="00583CF5"/>
    <w:rsid w:val="005A314A"/>
    <w:rsid w:val="005E488A"/>
    <w:rsid w:val="006500C0"/>
    <w:rsid w:val="006739FD"/>
    <w:rsid w:val="006C38E2"/>
    <w:rsid w:val="006C43FF"/>
    <w:rsid w:val="00701128"/>
    <w:rsid w:val="007047CC"/>
    <w:rsid w:val="00735FB3"/>
    <w:rsid w:val="007B4D85"/>
    <w:rsid w:val="008048F1"/>
    <w:rsid w:val="00821DE0"/>
    <w:rsid w:val="0082307C"/>
    <w:rsid w:val="00827911"/>
    <w:rsid w:val="00862862"/>
    <w:rsid w:val="0086401F"/>
    <w:rsid w:val="00877F59"/>
    <w:rsid w:val="008C21B4"/>
    <w:rsid w:val="009103C3"/>
    <w:rsid w:val="00911232"/>
    <w:rsid w:val="00917F15"/>
    <w:rsid w:val="00926FC9"/>
    <w:rsid w:val="00993C7C"/>
    <w:rsid w:val="00A11923"/>
    <w:rsid w:val="00A342DB"/>
    <w:rsid w:val="00A50083"/>
    <w:rsid w:val="00A50589"/>
    <w:rsid w:val="00A57668"/>
    <w:rsid w:val="00A642CC"/>
    <w:rsid w:val="00A721E8"/>
    <w:rsid w:val="00A72B37"/>
    <w:rsid w:val="00A7441D"/>
    <w:rsid w:val="00A75C29"/>
    <w:rsid w:val="00A82791"/>
    <w:rsid w:val="00A848B9"/>
    <w:rsid w:val="00AC39C4"/>
    <w:rsid w:val="00B635C4"/>
    <w:rsid w:val="00B929E4"/>
    <w:rsid w:val="00BA0271"/>
    <w:rsid w:val="00BE36E3"/>
    <w:rsid w:val="00C35814"/>
    <w:rsid w:val="00C7695D"/>
    <w:rsid w:val="00CD6117"/>
    <w:rsid w:val="00CE1C50"/>
    <w:rsid w:val="00D02001"/>
    <w:rsid w:val="00D0251D"/>
    <w:rsid w:val="00D248B4"/>
    <w:rsid w:val="00D66801"/>
    <w:rsid w:val="00D83CBD"/>
    <w:rsid w:val="00DA635B"/>
    <w:rsid w:val="00DE7FCB"/>
    <w:rsid w:val="00EB1F72"/>
    <w:rsid w:val="00F0385C"/>
    <w:rsid w:val="00F64725"/>
    <w:rsid w:val="00FB06EF"/>
    <w:rsid w:val="00FB1B13"/>
    <w:rsid w:val="00FB2DBC"/>
    <w:rsid w:val="00FC0C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96D21-087F-417D-9E2E-31D3E49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0C0"/>
    <w:pPr>
      <w:ind w:left="720"/>
      <w:contextualSpacing/>
    </w:pPr>
  </w:style>
  <w:style w:type="character" w:customStyle="1" w:styleId="WW8Num1z0">
    <w:name w:val="WW8Num1z0"/>
    <w:rsid w:val="0021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28791">
      <w:bodyDiv w:val="1"/>
      <w:marLeft w:val="0"/>
      <w:marRight w:val="0"/>
      <w:marTop w:val="0"/>
      <w:marBottom w:val="0"/>
      <w:divBdr>
        <w:top w:val="none" w:sz="0" w:space="0" w:color="auto"/>
        <w:left w:val="none" w:sz="0" w:space="0" w:color="auto"/>
        <w:bottom w:val="none" w:sz="0" w:space="0" w:color="auto"/>
        <w:right w:val="none" w:sz="0" w:space="0" w:color="auto"/>
      </w:divBdr>
    </w:div>
    <w:div w:id="206724247">
      <w:bodyDiv w:val="1"/>
      <w:marLeft w:val="0"/>
      <w:marRight w:val="0"/>
      <w:marTop w:val="0"/>
      <w:marBottom w:val="0"/>
      <w:divBdr>
        <w:top w:val="none" w:sz="0" w:space="0" w:color="auto"/>
        <w:left w:val="none" w:sz="0" w:space="0" w:color="auto"/>
        <w:bottom w:val="none" w:sz="0" w:space="0" w:color="auto"/>
        <w:right w:val="none" w:sz="0" w:space="0" w:color="auto"/>
      </w:divBdr>
    </w:div>
    <w:div w:id="1127972007">
      <w:bodyDiv w:val="1"/>
      <w:marLeft w:val="0"/>
      <w:marRight w:val="0"/>
      <w:marTop w:val="0"/>
      <w:marBottom w:val="0"/>
      <w:divBdr>
        <w:top w:val="none" w:sz="0" w:space="0" w:color="auto"/>
        <w:left w:val="none" w:sz="0" w:space="0" w:color="auto"/>
        <w:bottom w:val="none" w:sz="0" w:space="0" w:color="auto"/>
        <w:right w:val="none" w:sz="0" w:space="0" w:color="auto"/>
      </w:divBdr>
    </w:div>
    <w:div w:id="1266767341">
      <w:bodyDiv w:val="1"/>
      <w:marLeft w:val="0"/>
      <w:marRight w:val="0"/>
      <w:marTop w:val="0"/>
      <w:marBottom w:val="0"/>
      <w:divBdr>
        <w:top w:val="none" w:sz="0" w:space="0" w:color="auto"/>
        <w:left w:val="none" w:sz="0" w:space="0" w:color="auto"/>
        <w:bottom w:val="none" w:sz="0" w:space="0" w:color="auto"/>
        <w:right w:val="none" w:sz="0" w:space="0" w:color="auto"/>
      </w:divBdr>
    </w:div>
    <w:div w:id="1933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2025-07-15T07:02:00Z</dcterms:created>
  <dcterms:modified xsi:type="dcterms:W3CDTF">2025-07-15T07:02:00Z</dcterms:modified>
</cp:coreProperties>
</file>